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F2A4" w14:textId="77777777" w:rsidR="00172FAA" w:rsidRPr="00E32535" w:rsidRDefault="00172FAA" w:rsidP="00172FAA">
      <w:pPr>
        <w:jc w:val="center"/>
        <w:rPr>
          <w:b/>
          <w:bCs/>
        </w:rPr>
      </w:pPr>
      <w:r w:rsidRPr="00E32535">
        <w:rPr>
          <w:b/>
          <w:bCs/>
        </w:rPr>
        <w:t xml:space="preserve">Четыре шага, чтобы проверить </w:t>
      </w:r>
      <w:proofErr w:type="spellStart"/>
      <w:r w:rsidRPr="00E32535">
        <w:rPr>
          <w:b/>
          <w:bCs/>
        </w:rPr>
        <w:t>бухотчетность</w:t>
      </w:r>
      <w:proofErr w:type="spellEnd"/>
      <w:r w:rsidRPr="00E32535">
        <w:rPr>
          <w:b/>
          <w:bCs/>
        </w:rPr>
        <w:t xml:space="preserve"> перед сдачей</w:t>
      </w:r>
    </w:p>
    <w:p w14:paraId="58F1510C" w14:textId="77777777" w:rsidR="00172FAA" w:rsidRPr="00E32535" w:rsidRDefault="00172FAA" w:rsidP="00172FAA">
      <w:pPr>
        <w:rPr>
          <w:i/>
          <w:iCs/>
        </w:rPr>
      </w:pPr>
      <w:r w:rsidRPr="00E32535">
        <w:rPr>
          <w:i/>
          <w:iCs/>
        </w:rPr>
        <w:t>Чтобы избежать проблем с проверяющими и обеспечить точность данных, проверьте бухгалтерскую отчетность до того, как утвердите ее. Забирайте пошаговую инструкцию, как это сделать по правилам ФСБУ 4/2023.</w:t>
      </w:r>
    </w:p>
    <w:p w14:paraId="3CBF2089" w14:textId="77777777" w:rsidR="00172FAA" w:rsidRPr="00E32535" w:rsidRDefault="00172FAA" w:rsidP="00172FAA">
      <w:r w:rsidRPr="00E32535">
        <w:t>ИРИНА ПЕТУХОВА — шеф-редактор Системы Главбух. Окончила РГОТУПС по специальности «бухгалтерский учет и аудит». 25 лет работала в финансах — с 1996 по 2020 год практиковала бухучет. Пришла в Систему Главбух с должности финансового директора.</w:t>
      </w:r>
    </w:p>
    <w:p w14:paraId="0B50062F" w14:textId="77777777" w:rsidR="00172FAA" w:rsidRPr="00E32535" w:rsidRDefault="00172FAA" w:rsidP="00172FAA">
      <w:pPr>
        <w:rPr>
          <w:b/>
          <w:bCs/>
        </w:rPr>
      </w:pPr>
      <w:r w:rsidRPr="00E32535">
        <w:rPr>
          <w:b/>
          <w:bCs/>
        </w:rPr>
        <w:t>Шаг 1. Сверьте отчетность с учетной политикой</w:t>
      </w:r>
    </w:p>
    <w:p w14:paraId="1809E775" w14:textId="77777777" w:rsidR="00172FAA" w:rsidRPr="00E32535" w:rsidRDefault="00172FAA" w:rsidP="00172FAA">
      <w:r w:rsidRPr="00E32535">
        <w:t>Убедитесь, что все положения учетной политики, которые касаются составления бухгалтерской отчетности, вы последовательно применяли в течение отчетного периода и при составлении отчетности. Если в прошлом году вносили изменения в учетную политику, проверьте, как раскрыли в пояснениях к отчетности.</w:t>
      </w:r>
    </w:p>
    <w:p w14:paraId="4F0137B0" w14:textId="77777777" w:rsidR="00172FAA" w:rsidRPr="00E32535" w:rsidRDefault="00172FAA" w:rsidP="00172FAA">
      <w:pPr>
        <w:rPr>
          <w:b/>
          <w:bCs/>
        </w:rPr>
      </w:pPr>
      <w:r w:rsidRPr="00E32535">
        <w:rPr>
          <w:b/>
          <w:bCs/>
        </w:rPr>
        <w:t>Шаг 2. Оцените существенность информации</w:t>
      </w:r>
    </w:p>
    <w:p w14:paraId="7CC24003" w14:textId="77777777" w:rsidR="00172FAA" w:rsidRPr="00E32535" w:rsidRDefault="00172FAA" w:rsidP="00172FAA">
      <w:proofErr w:type="spellStart"/>
      <w:r w:rsidRPr="00E32535">
        <w:t>Бухотчетность</w:t>
      </w:r>
      <w:proofErr w:type="spellEnd"/>
      <w:r w:rsidRPr="00E32535">
        <w:t xml:space="preserve"> составляют по принципу существенности. Проверьте, вся ли информация, которая может повлиять на решения пользователей отчетности, раскрыта. Несущественные детали можно опустить, но существенные ошибки или упущения недопустимы.</w:t>
      </w:r>
    </w:p>
    <w:p w14:paraId="431EB491" w14:textId="77777777" w:rsidR="00172FAA" w:rsidRPr="00E32535" w:rsidRDefault="00172FAA" w:rsidP="00172FAA">
      <w:r w:rsidRPr="00E32535">
        <w:rPr>
          <w:b/>
          <w:bCs/>
        </w:rPr>
        <w:t>Какие показатели существенны.</w:t>
      </w:r>
      <w:r w:rsidRPr="00E32535">
        <w:t> На критерии влияют количественные и качественные показатели. Детализацию в подстроках определяют по количественному критерию (п. 7.4 ПБУ 1/2008). Как правило, не ниже 5 процентов от величины показателя.</w:t>
      </w:r>
    </w:p>
    <w:p w14:paraId="0C01F3B9" w14:textId="77777777" w:rsidR="00172FAA" w:rsidRPr="00E32535" w:rsidRDefault="00172FAA" w:rsidP="00172FAA">
      <w:r w:rsidRPr="00E32535">
        <w:t>При проверке аудиторы проверяют качественный показатель. Также на него опираются инспекторы при сверке отчетности с декларациями — смотрят не все показатели, а только существенные.</w:t>
      </w:r>
    </w:p>
    <w:p w14:paraId="41EFB9E7" w14:textId="77777777" w:rsidR="00172FAA" w:rsidRPr="00E32535" w:rsidRDefault="00172FAA" w:rsidP="00172FAA">
      <w:r w:rsidRPr="00E32535">
        <w:t>Шпаргалка</w:t>
      </w:r>
    </w:p>
    <w:p w14:paraId="24BBA784" w14:textId="77777777" w:rsidR="00172FAA" w:rsidRPr="00E32535" w:rsidRDefault="00172FAA" w:rsidP="00172FAA">
      <w:pPr>
        <w:rPr>
          <w:b/>
          <w:bCs/>
        </w:rPr>
      </w:pPr>
      <w:r w:rsidRPr="00E32535">
        <w:rPr>
          <w:b/>
          <w:bCs/>
        </w:rPr>
        <w:t>В чем убедиться при проверке баланса</w:t>
      </w:r>
    </w:p>
    <w:p w14:paraId="4E162933" w14:textId="68A34809" w:rsidR="00172FAA" w:rsidRPr="00E32535" w:rsidRDefault="00172FAA" w:rsidP="00172FAA">
      <w:r w:rsidRPr="00E32535">
        <w:rPr>
          <w:noProof/>
        </w:rPr>
        <w:drawing>
          <wp:inline distT="0" distB="0" distL="0" distR="0" wp14:anchorId="7C4A0657" wp14:editId="5DAD9E6B">
            <wp:extent cx="477520" cy="340995"/>
            <wp:effectExtent l="0" t="0" r="0" b="1905"/>
            <wp:docPr id="10452234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Актив бухгалтерского баланса равен его пассиву;</w:t>
      </w:r>
      <w:r w:rsidRPr="00E32535">
        <w:br/>
      </w:r>
      <w:r w:rsidRPr="00E32535">
        <w:rPr>
          <w:noProof/>
        </w:rPr>
        <w:drawing>
          <wp:inline distT="0" distB="0" distL="0" distR="0" wp14:anchorId="3EE22AFF" wp14:editId="0526F07C">
            <wp:extent cx="477520" cy="340995"/>
            <wp:effectExtent l="0" t="0" r="0" b="1905"/>
            <wp:docPr id="21313289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В балансе нет отрицательных величин, указанных в скобках. Исключение — строка 1370 в случае убытка и строка 1320;</w:t>
      </w:r>
      <w:r w:rsidRPr="00E32535">
        <w:br/>
      </w:r>
      <w:r w:rsidRPr="00E32535">
        <w:rPr>
          <w:noProof/>
        </w:rPr>
        <w:drawing>
          <wp:inline distT="0" distB="0" distL="0" distR="0" wp14:anchorId="059847FD" wp14:editId="4E58CB43">
            <wp:extent cx="477520" cy="340995"/>
            <wp:effectExtent l="0" t="0" r="0" b="1905"/>
            <wp:docPr id="29572575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НДС с авансов показали в балансе свернуто;</w:t>
      </w:r>
      <w:r w:rsidRPr="00E32535">
        <w:br/>
      </w:r>
      <w:r w:rsidRPr="00E32535">
        <w:rPr>
          <w:noProof/>
        </w:rPr>
        <w:drawing>
          <wp:inline distT="0" distB="0" distL="0" distR="0" wp14:anchorId="3E0E7619" wp14:editId="7DB533B2">
            <wp:extent cx="477520" cy="340995"/>
            <wp:effectExtent l="0" t="0" r="0" b="1905"/>
            <wp:docPr id="9305843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Внесли необходимые ручные корректировки по ретроспективному пересчету сравнительных показателей;</w:t>
      </w:r>
      <w:r w:rsidRPr="00E32535">
        <w:br/>
      </w:r>
      <w:r w:rsidRPr="00E32535">
        <w:rPr>
          <w:noProof/>
        </w:rPr>
        <w:drawing>
          <wp:inline distT="0" distB="0" distL="0" distR="0" wp14:anchorId="4BD577F8" wp14:editId="2D76195E">
            <wp:extent cx="477520" cy="340995"/>
            <wp:effectExtent l="0" t="0" r="0" b="1905"/>
            <wp:docPr id="157945885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Все развернутые сальдо субсчетов из оборотно-сальдовой ведомости попали в баланс;</w:t>
      </w:r>
      <w:r w:rsidRPr="00E32535">
        <w:br/>
      </w:r>
      <w:r w:rsidRPr="00E32535">
        <w:rPr>
          <w:noProof/>
        </w:rPr>
        <w:drawing>
          <wp:inline distT="0" distB="0" distL="0" distR="0" wp14:anchorId="57684B98" wp14:editId="72ACEC76">
            <wp:extent cx="477520" cy="340995"/>
            <wp:effectExtent l="0" t="0" r="0" b="1905"/>
            <wp:docPr id="71209528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 xml:space="preserve"> Баланс взаимоувязан с другими </w:t>
      </w:r>
      <w:proofErr w:type="spellStart"/>
      <w:r w:rsidRPr="00E32535">
        <w:t>бухотчетами</w:t>
      </w:r>
      <w:proofErr w:type="spellEnd"/>
      <w:r w:rsidRPr="00E32535">
        <w:t xml:space="preserve"> и налоговыми декларациями.</w:t>
      </w:r>
    </w:p>
    <w:p w14:paraId="433776D9" w14:textId="77777777" w:rsidR="00172FAA" w:rsidRPr="00E32535" w:rsidRDefault="00172FAA" w:rsidP="00172FAA">
      <w:pPr>
        <w:rPr>
          <w:b/>
          <w:bCs/>
        </w:rPr>
      </w:pPr>
      <w:r w:rsidRPr="00E32535">
        <w:rPr>
          <w:b/>
          <w:bCs/>
        </w:rPr>
        <w:lastRenderedPageBreak/>
        <w:t>Шаг 3. Проверьте взаимосвязь с другими отчетами</w:t>
      </w:r>
    </w:p>
    <w:p w14:paraId="41D73D32" w14:textId="77777777" w:rsidR="00172FAA" w:rsidRPr="00E32535" w:rsidRDefault="00172FAA" w:rsidP="00172FAA">
      <w:r w:rsidRPr="00E32535">
        <w:t>После составления отчетности проверку нужно провести и на выполнение требований Минфина. Информация должна быть полно отражена, полезна, нейтральна, последовательна и сопоставима.</w:t>
      </w:r>
    </w:p>
    <w:p w14:paraId="7953833F" w14:textId="77777777" w:rsidR="00172FAA" w:rsidRPr="00E32535" w:rsidRDefault="00172FAA" w:rsidP="00172FAA">
      <w:r w:rsidRPr="00E32535">
        <w:t>Для отчетности за 2025 год Минфин выпустил разъяснения для аудиторов, </w:t>
      </w:r>
      <w:hyperlink r:id="rId5" w:tgtFrame="_blank" w:history="1">
        <w:r w:rsidRPr="00E32535">
          <w:rPr>
            <w:rStyle w:val="ac"/>
          </w:rPr>
          <w:t xml:space="preserve">как проверять </w:t>
        </w:r>
        <w:proofErr w:type="spellStart"/>
        <w:r w:rsidRPr="00E32535">
          <w:rPr>
            <w:rStyle w:val="ac"/>
          </w:rPr>
          <w:t>бухотчетность</w:t>
        </w:r>
        <w:proofErr w:type="spellEnd"/>
      </w:hyperlink>
      <w:r w:rsidRPr="00E32535">
        <w:t>. Вы тоже можете опираться на эти контрольные точки.</w:t>
      </w:r>
    </w:p>
    <w:p w14:paraId="13DF1129" w14:textId="77777777" w:rsidR="00172FAA" w:rsidRPr="00E32535" w:rsidRDefault="00172FAA" w:rsidP="00172FAA">
      <w:pPr>
        <w:rPr>
          <w:b/>
          <w:bCs/>
        </w:rPr>
      </w:pPr>
      <w:r w:rsidRPr="00E32535">
        <w:rPr>
          <w:b/>
          <w:bCs/>
        </w:rPr>
        <w:t xml:space="preserve">Шаг 4. Сверьте данные между формами </w:t>
      </w:r>
      <w:proofErr w:type="spellStart"/>
      <w:r w:rsidRPr="00E32535">
        <w:rPr>
          <w:b/>
          <w:bCs/>
        </w:rPr>
        <w:t>бухотчетности</w:t>
      </w:r>
      <w:proofErr w:type="spellEnd"/>
      <w:r w:rsidRPr="00E32535">
        <w:rPr>
          <w:b/>
          <w:bCs/>
        </w:rPr>
        <w:t xml:space="preserve"> и оцените ее качество</w:t>
      </w:r>
    </w:p>
    <w:p w14:paraId="6FA1FC60" w14:textId="77777777" w:rsidR="00172FAA" w:rsidRPr="00E32535" w:rsidRDefault="00172FAA" w:rsidP="00172FAA">
      <w:r w:rsidRPr="00E32535">
        <w:t>Убедитесь, что показатели, которые переходят из одной формы в другую, отражены корректно. Например, чистая прибыль из отчета о финрезультатах должна быть в отчете об изменениях капитала.</w:t>
      </w:r>
    </w:p>
    <w:p w14:paraId="345BEEB4" w14:textId="77777777" w:rsidR="00172FAA" w:rsidRPr="00E32535" w:rsidRDefault="00172FAA" w:rsidP="00172FAA">
      <w:r w:rsidRPr="00E32535">
        <w:rPr>
          <w:b/>
          <w:bCs/>
        </w:rPr>
        <w:t>Логичность и последовательность.</w:t>
      </w:r>
      <w:r w:rsidRPr="00E32535">
        <w:t> Оцените, насколько логично и последовательно представлена информация в отчетности. Есть ли противоречия или неясности.</w:t>
      </w:r>
    </w:p>
    <w:p w14:paraId="45E144BC" w14:textId="77777777" w:rsidR="00172FAA" w:rsidRPr="00E32535" w:rsidRDefault="00172FAA" w:rsidP="00172FAA">
      <w:r w:rsidRPr="00E32535">
        <w:rPr>
          <w:b/>
          <w:bCs/>
        </w:rPr>
        <w:t>Понятность для пользователей. </w:t>
      </w:r>
      <w:r w:rsidRPr="00E32535">
        <w:t>Попробуйте взглянуть на отчетность глазами пользователя. Ему будет понятна информация?</w:t>
      </w:r>
    </w:p>
    <w:p w14:paraId="6E16B5DD" w14:textId="77777777" w:rsidR="00172FAA" w:rsidRPr="00E32535" w:rsidRDefault="00172FAA" w:rsidP="00172FAA">
      <w:r w:rsidRPr="00E32535">
        <w:rPr>
          <w:b/>
          <w:bCs/>
        </w:rPr>
        <w:t>Соответствие ожиданиям. </w:t>
      </w:r>
      <w:r w:rsidRPr="00E32535">
        <w:t>Сравните показатели отчетности с предыдущими периодами, отраслевыми показателями и ожиданиями. Есть существенные отклонения, требующие объяснения?</w:t>
      </w:r>
    </w:p>
    <w:p w14:paraId="784BC9C1" w14:textId="77777777" w:rsidR="00172FAA" w:rsidRPr="00E32535" w:rsidRDefault="00172FAA" w:rsidP="00172FAA">
      <w:r w:rsidRPr="00E32535">
        <w:rPr>
          <w:b/>
          <w:bCs/>
        </w:rPr>
        <w:t>Выявление потенциальных рисков.</w:t>
      </w:r>
      <w:r w:rsidRPr="00E32535">
        <w:t> Проанализируйте отчетность на предмет потенциальных рисков, связанных с финансовым положением компании, ее прибыльностью или ликвидностью.</w:t>
      </w:r>
    </w:p>
    <w:p w14:paraId="0E87F5AA" w14:textId="77777777" w:rsidR="00172FAA" w:rsidRPr="00E32535" w:rsidRDefault="00172FAA" w:rsidP="00172FAA">
      <w:pPr>
        <w:jc w:val="right"/>
      </w:pPr>
    </w:p>
    <w:p w14:paraId="10E83AAD" w14:textId="77777777" w:rsidR="00172FAA" w:rsidRPr="00E32535" w:rsidRDefault="00172FAA" w:rsidP="00172FAA">
      <w:pPr>
        <w:jc w:val="right"/>
      </w:pPr>
      <w:r w:rsidRPr="00E32535">
        <w:t>Журнал «Главбух» №5, 2026 г.</w:t>
      </w:r>
    </w:p>
    <w:p w14:paraId="381FB000" w14:textId="77777777" w:rsidR="00172FAA" w:rsidRPr="00E32535" w:rsidRDefault="00172FAA" w:rsidP="00172FAA">
      <w:pPr>
        <w:rPr>
          <w:b/>
          <w:bCs/>
        </w:rPr>
      </w:pPr>
    </w:p>
    <w:p w14:paraId="32AFCFD6" w14:textId="77777777" w:rsidR="00172FAA" w:rsidRPr="00E32535" w:rsidRDefault="00172FAA" w:rsidP="00172FAA">
      <w:pPr>
        <w:rPr>
          <w:b/>
          <w:bCs/>
        </w:rPr>
      </w:pPr>
    </w:p>
    <w:p w14:paraId="1DC5046F" w14:textId="77777777" w:rsidR="00172FAA" w:rsidRPr="00E32535" w:rsidRDefault="00172FAA" w:rsidP="00172FAA">
      <w:pPr>
        <w:rPr>
          <w:b/>
          <w:bCs/>
        </w:rPr>
      </w:pPr>
    </w:p>
    <w:p w14:paraId="2A47D8F0" w14:textId="77777777" w:rsidR="00172FAA" w:rsidRPr="00E32535" w:rsidRDefault="00172FAA" w:rsidP="00172FAA">
      <w:pPr>
        <w:rPr>
          <w:b/>
          <w:bCs/>
        </w:rPr>
      </w:pPr>
    </w:p>
    <w:p w14:paraId="67F35F98" w14:textId="4E302E67" w:rsidR="00100604" w:rsidRPr="00172FAA" w:rsidRDefault="00100604" w:rsidP="00172FAA"/>
    <w:sectPr w:rsidR="00100604" w:rsidRPr="00172FAA" w:rsidSect="00371F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04"/>
    <w:rsid w:val="00100604"/>
    <w:rsid w:val="00172FAA"/>
    <w:rsid w:val="00371FE5"/>
    <w:rsid w:val="005F0318"/>
    <w:rsid w:val="00616C82"/>
    <w:rsid w:val="00BA61E6"/>
    <w:rsid w:val="00D82345"/>
    <w:rsid w:val="00E1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9F"/>
  <w15:chartTrackingRefBased/>
  <w15:docId w15:val="{FD7BDF76-E674-4C31-B813-E6B477FD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04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6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60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60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100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6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100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glavbukh.ru/117437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2026-04-10T13:25:00Z</dcterms:created>
  <dcterms:modified xsi:type="dcterms:W3CDTF">2026-04-10T13:25:00Z</dcterms:modified>
</cp:coreProperties>
</file>